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Российская Федерация</w:t>
      </w:r>
    </w:p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Хайрюзовский сельский Совет депутатов</w:t>
      </w:r>
    </w:p>
    <w:p w:rsidR="00FC213B" w:rsidRPr="00471CF4" w:rsidRDefault="00FC213B" w:rsidP="00FC213B">
      <w:pPr>
        <w:jc w:val="center"/>
        <w:rPr>
          <w:rFonts w:cs="Times New Roman"/>
          <w:b/>
          <w:caps/>
          <w:sz w:val="24"/>
          <w:szCs w:val="28"/>
        </w:rPr>
      </w:pPr>
      <w:r w:rsidRPr="00471CF4">
        <w:rPr>
          <w:rFonts w:cs="Times New Roman"/>
          <w:b/>
          <w:caps/>
          <w:sz w:val="24"/>
          <w:szCs w:val="28"/>
        </w:rPr>
        <w:t>Троицкого района Алтайского края</w:t>
      </w:r>
    </w:p>
    <w:p w:rsidR="00FC213B" w:rsidRPr="00471CF4" w:rsidRDefault="00FC213B" w:rsidP="00FC213B">
      <w:pPr>
        <w:jc w:val="center"/>
        <w:rPr>
          <w:b/>
          <w:caps/>
          <w:spacing w:val="84"/>
          <w:sz w:val="24"/>
          <w:szCs w:val="28"/>
        </w:rPr>
      </w:pPr>
    </w:p>
    <w:p w:rsidR="00FC213B" w:rsidRPr="00471CF4" w:rsidRDefault="00FC213B" w:rsidP="00FC213B">
      <w:pPr>
        <w:widowControl/>
        <w:autoSpaceDE/>
        <w:autoSpaceDN/>
        <w:adjustRightInd/>
        <w:jc w:val="center"/>
        <w:rPr>
          <w:rFonts w:cs="Times New Roman"/>
          <w:b/>
          <w:caps/>
          <w:spacing w:val="84"/>
          <w:sz w:val="24"/>
          <w:szCs w:val="36"/>
        </w:rPr>
      </w:pPr>
      <w:r w:rsidRPr="00471CF4">
        <w:rPr>
          <w:rFonts w:cs="Times New Roman"/>
          <w:b/>
          <w:caps/>
          <w:spacing w:val="84"/>
          <w:sz w:val="24"/>
          <w:szCs w:val="36"/>
        </w:rPr>
        <w:t>РЕШЕНИЕ</w:t>
      </w:r>
    </w:p>
    <w:p w:rsidR="00FC213B" w:rsidRPr="00471CF4" w:rsidRDefault="00FC213B" w:rsidP="00FC213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C213B" w:rsidRPr="00471CF4" w:rsidRDefault="00527639" w:rsidP="00471CF4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471CF4" w:rsidRPr="00471CF4">
        <w:rPr>
          <w:b/>
          <w:sz w:val="24"/>
          <w:szCs w:val="24"/>
        </w:rPr>
        <w:t xml:space="preserve">.12.2021                                                                                                        </w:t>
      </w:r>
      <w:r w:rsidR="00FC213B" w:rsidRPr="00471CF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26</w:t>
      </w:r>
      <w:bookmarkStart w:id="0" w:name="_GoBack"/>
      <w:bookmarkEnd w:id="0"/>
    </w:p>
    <w:p w:rsidR="00FC213B" w:rsidRPr="00471CF4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71CF4">
        <w:rPr>
          <w:b/>
          <w:sz w:val="24"/>
          <w:szCs w:val="24"/>
        </w:rPr>
        <w:t xml:space="preserve">с. </w:t>
      </w:r>
      <w:proofErr w:type="spellStart"/>
      <w:r w:rsidRPr="00471CF4">
        <w:rPr>
          <w:b/>
          <w:sz w:val="24"/>
          <w:szCs w:val="24"/>
        </w:rPr>
        <w:t>Хайрюзовка</w:t>
      </w:r>
      <w:proofErr w:type="spellEnd"/>
    </w:p>
    <w:p w:rsidR="00FC213B" w:rsidRPr="00471CF4" w:rsidRDefault="00FC213B" w:rsidP="00FC213B">
      <w:pPr>
        <w:jc w:val="both"/>
        <w:rPr>
          <w:sz w:val="28"/>
        </w:rPr>
      </w:pPr>
    </w:p>
    <w:p w:rsidR="00FC213B" w:rsidRPr="00471CF4" w:rsidRDefault="00FC213B" w:rsidP="00477166">
      <w:pPr>
        <w:pStyle w:val="2"/>
        <w:ind w:right="4935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О протесте прокурора Троицкого района на решение Хайрюзовского сельского Совета депутатов от </w:t>
      </w:r>
      <w:r w:rsidR="00477166" w:rsidRPr="00471CF4">
        <w:rPr>
          <w:sz w:val="24"/>
          <w:szCs w:val="24"/>
        </w:rPr>
        <w:t>21.03.2014 № 122 «Об опросе граждан в муниципальном образовании Хайрюзовский сельсовет Троицкого района Алтайского края»</w:t>
      </w:r>
    </w:p>
    <w:p w:rsidR="00FC213B" w:rsidRPr="00471CF4" w:rsidRDefault="00FC213B" w:rsidP="00FC213B">
      <w:pPr>
        <w:pStyle w:val="2"/>
        <w:rPr>
          <w:sz w:val="24"/>
          <w:szCs w:val="24"/>
        </w:rPr>
      </w:pPr>
    </w:p>
    <w:p w:rsidR="00FC213B" w:rsidRPr="00471CF4" w:rsidRDefault="00FC213B" w:rsidP="00471CF4">
      <w:pPr>
        <w:pStyle w:val="2"/>
        <w:ind w:right="-22" w:firstLine="709"/>
        <w:jc w:val="both"/>
        <w:rPr>
          <w:sz w:val="24"/>
          <w:szCs w:val="24"/>
        </w:rPr>
      </w:pPr>
      <w:proofErr w:type="gramStart"/>
      <w:r w:rsidRPr="00471CF4">
        <w:rPr>
          <w:sz w:val="24"/>
          <w:szCs w:val="24"/>
        </w:rPr>
        <w:t>В соответствии с</w:t>
      </w:r>
      <w:r w:rsidR="005B0F18">
        <w:rPr>
          <w:sz w:val="24"/>
          <w:szCs w:val="24"/>
        </w:rPr>
        <w:t xml:space="preserve"> Уставом</w:t>
      </w:r>
      <w:r w:rsidRPr="00471CF4">
        <w:rPr>
          <w:sz w:val="24"/>
          <w:szCs w:val="24"/>
        </w:rPr>
        <w:t xml:space="preserve"> муниципального образования Хайрюзовский сельсовет Троицкого района Алтайского края, </w:t>
      </w:r>
      <w:r w:rsidR="005B0F18">
        <w:rPr>
          <w:sz w:val="24"/>
          <w:szCs w:val="24"/>
        </w:rPr>
        <w:t>Регламентом</w:t>
      </w:r>
      <w:r w:rsidRPr="00471CF4">
        <w:rPr>
          <w:sz w:val="24"/>
          <w:szCs w:val="24"/>
        </w:rPr>
        <w:t xml:space="preserve">  Хайрюзовского сельского  Совета депутатов, рассмотрев протест прокурора Троицкого района от </w:t>
      </w:r>
      <w:r w:rsidR="00477166" w:rsidRPr="00471CF4">
        <w:rPr>
          <w:sz w:val="24"/>
          <w:szCs w:val="24"/>
        </w:rPr>
        <w:t>18</w:t>
      </w:r>
      <w:r w:rsidR="00471CF4">
        <w:rPr>
          <w:sz w:val="24"/>
          <w:szCs w:val="24"/>
        </w:rPr>
        <w:t>.11</w:t>
      </w:r>
      <w:r w:rsidRPr="00471CF4">
        <w:rPr>
          <w:sz w:val="24"/>
          <w:szCs w:val="24"/>
        </w:rPr>
        <w:t>.20</w:t>
      </w:r>
      <w:r w:rsidR="00471CF4">
        <w:rPr>
          <w:sz w:val="24"/>
          <w:szCs w:val="24"/>
        </w:rPr>
        <w:t>2</w:t>
      </w:r>
      <w:r w:rsidRPr="00471CF4">
        <w:rPr>
          <w:sz w:val="24"/>
          <w:szCs w:val="24"/>
        </w:rPr>
        <w:t>1</w:t>
      </w:r>
      <w:r w:rsidR="00477166" w:rsidRPr="00471CF4">
        <w:rPr>
          <w:sz w:val="24"/>
          <w:szCs w:val="24"/>
        </w:rPr>
        <w:t xml:space="preserve"> № 02-3</w:t>
      </w:r>
      <w:r w:rsidR="00471CF4">
        <w:rPr>
          <w:sz w:val="24"/>
          <w:szCs w:val="24"/>
        </w:rPr>
        <w:t>4</w:t>
      </w:r>
      <w:r w:rsidR="00477166" w:rsidRPr="00471CF4">
        <w:rPr>
          <w:sz w:val="24"/>
          <w:szCs w:val="24"/>
        </w:rPr>
        <w:t>-20</w:t>
      </w:r>
      <w:r w:rsidR="00471CF4">
        <w:rPr>
          <w:sz w:val="24"/>
          <w:szCs w:val="24"/>
        </w:rPr>
        <w:t>2</w:t>
      </w:r>
      <w:r w:rsidR="00477166" w:rsidRPr="00471CF4">
        <w:rPr>
          <w:sz w:val="24"/>
          <w:szCs w:val="24"/>
        </w:rPr>
        <w:t xml:space="preserve">1 </w:t>
      </w:r>
      <w:r w:rsidRPr="00471CF4">
        <w:rPr>
          <w:sz w:val="24"/>
          <w:szCs w:val="24"/>
        </w:rPr>
        <w:t xml:space="preserve">на решение Хайрюзовского сельского Совета депутатов от </w:t>
      </w:r>
      <w:r w:rsidR="00477166" w:rsidRPr="00471CF4">
        <w:rPr>
          <w:sz w:val="24"/>
          <w:szCs w:val="24"/>
        </w:rPr>
        <w:t>21.03.2014 № 122 «Об опросе граждан в муниципальном образовании Хайрюзовский сельсовет Троицкого района Алтайского края»</w:t>
      </w:r>
      <w:r w:rsidRPr="00471CF4">
        <w:rPr>
          <w:bCs/>
          <w:sz w:val="24"/>
          <w:szCs w:val="24"/>
        </w:rPr>
        <w:t xml:space="preserve">, </w:t>
      </w:r>
      <w:r w:rsidRPr="00471CF4">
        <w:rPr>
          <w:sz w:val="24"/>
          <w:szCs w:val="24"/>
        </w:rPr>
        <w:t>Хайрюзовский сельский  Совет депутатов</w:t>
      </w:r>
      <w:r w:rsidR="00471CF4">
        <w:rPr>
          <w:sz w:val="24"/>
          <w:szCs w:val="24"/>
        </w:rPr>
        <w:t xml:space="preserve"> решил</w:t>
      </w:r>
      <w:r w:rsidRPr="00471CF4">
        <w:rPr>
          <w:sz w:val="24"/>
          <w:szCs w:val="24"/>
        </w:rPr>
        <w:t>:</w:t>
      </w:r>
      <w:proofErr w:type="gramEnd"/>
    </w:p>
    <w:p w:rsidR="00FC213B" w:rsidRPr="00471CF4" w:rsidRDefault="00FC213B" w:rsidP="00FC213B">
      <w:pPr>
        <w:ind w:firstLine="708"/>
        <w:jc w:val="both"/>
        <w:rPr>
          <w:sz w:val="24"/>
          <w:szCs w:val="24"/>
        </w:rPr>
      </w:pPr>
      <w:r w:rsidRPr="00471CF4">
        <w:rPr>
          <w:sz w:val="24"/>
          <w:szCs w:val="24"/>
        </w:rPr>
        <w:t>1. Протест прокурора Троицкого района удовлетворить.</w:t>
      </w:r>
    </w:p>
    <w:p w:rsidR="00471CF4" w:rsidRDefault="00FC213B" w:rsidP="00FC213B">
      <w:pPr>
        <w:ind w:firstLine="708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2. Внести </w:t>
      </w:r>
      <w:r w:rsidR="00471CF4">
        <w:rPr>
          <w:sz w:val="24"/>
          <w:szCs w:val="24"/>
        </w:rPr>
        <w:t xml:space="preserve">следующие </w:t>
      </w:r>
      <w:r w:rsidRPr="00471CF4">
        <w:rPr>
          <w:sz w:val="24"/>
          <w:szCs w:val="24"/>
        </w:rPr>
        <w:t>изменения</w:t>
      </w:r>
      <w:r w:rsidR="00471CF4">
        <w:rPr>
          <w:sz w:val="24"/>
          <w:szCs w:val="24"/>
        </w:rPr>
        <w:t xml:space="preserve"> и дополнения</w:t>
      </w:r>
      <w:r w:rsidRPr="00471CF4">
        <w:rPr>
          <w:sz w:val="24"/>
          <w:szCs w:val="24"/>
        </w:rPr>
        <w:t xml:space="preserve"> в решение Хайрюзовского сельского Совета депутатов от  2</w:t>
      </w:r>
      <w:r w:rsidR="00477166" w:rsidRPr="00471CF4">
        <w:rPr>
          <w:sz w:val="24"/>
          <w:szCs w:val="24"/>
        </w:rPr>
        <w:t>1</w:t>
      </w:r>
      <w:r w:rsidRPr="00471CF4">
        <w:rPr>
          <w:sz w:val="24"/>
          <w:szCs w:val="24"/>
        </w:rPr>
        <w:t>.0</w:t>
      </w:r>
      <w:r w:rsidR="00477166" w:rsidRPr="00471CF4">
        <w:rPr>
          <w:sz w:val="24"/>
          <w:szCs w:val="24"/>
        </w:rPr>
        <w:t>3</w:t>
      </w:r>
      <w:r w:rsidRPr="00471CF4">
        <w:rPr>
          <w:sz w:val="24"/>
          <w:szCs w:val="24"/>
        </w:rPr>
        <w:t>.201</w:t>
      </w:r>
      <w:r w:rsidR="00477166" w:rsidRPr="00471CF4">
        <w:rPr>
          <w:sz w:val="24"/>
          <w:szCs w:val="24"/>
        </w:rPr>
        <w:t>4</w:t>
      </w:r>
      <w:r w:rsidRPr="00471CF4">
        <w:rPr>
          <w:sz w:val="24"/>
          <w:szCs w:val="24"/>
        </w:rPr>
        <w:t xml:space="preserve"> № </w:t>
      </w:r>
      <w:r w:rsidR="00477166" w:rsidRPr="00471CF4">
        <w:rPr>
          <w:sz w:val="24"/>
          <w:szCs w:val="24"/>
        </w:rPr>
        <w:t>122</w:t>
      </w:r>
      <w:r w:rsidRPr="00471CF4">
        <w:rPr>
          <w:sz w:val="24"/>
          <w:szCs w:val="24"/>
        </w:rPr>
        <w:t xml:space="preserve"> «Об </w:t>
      </w:r>
      <w:r w:rsidR="00477166" w:rsidRPr="00471CF4">
        <w:rPr>
          <w:sz w:val="24"/>
          <w:szCs w:val="24"/>
        </w:rPr>
        <w:t xml:space="preserve">опросе граждан в муниципальном образовании </w:t>
      </w:r>
      <w:r w:rsidRPr="00471CF4">
        <w:rPr>
          <w:sz w:val="24"/>
          <w:szCs w:val="24"/>
        </w:rPr>
        <w:t>Хайрюзовск</w:t>
      </w:r>
      <w:r w:rsidR="00477166" w:rsidRPr="00471CF4">
        <w:rPr>
          <w:sz w:val="24"/>
          <w:szCs w:val="24"/>
        </w:rPr>
        <w:t>ий</w:t>
      </w:r>
      <w:r w:rsidRPr="00471CF4">
        <w:rPr>
          <w:sz w:val="24"/>
          <w:szCs w:val="24"/>
        </w:rPr>
        <w:t xml:space="preserve"> сельсовет</w:t>
      </w:r>
      <w:r w:rsidR="00477166" w:rsidRPr="00471CF4">
        <w:rPr>
          <w:sz w:val="24"/>
          <w:szCs w:val="24"/>
        </w:rPr>
        <w:t xml:space="preserve"> Троицкого района Алтайского края</w:t>
      </w:r>
      <w:r w:rsidRPr="00471CF4">
        <w:rPr>
          <w:sz w:val="24"/>
          <w:szCs w:val="24"/>
        </w:rPr>
        <w:t>»</w:t>
      </w:r>
      <w:r w:rsidR="00471CF4">
        <w:rPr>
          <w:sz w:val="24"/>
          <w:szCs w:val="24"/>
        </w:rPr>
        <w:t>:</w:t>
      </w:r>
    </w:p>
    <w:p w:rsidR="00FC213B" w:rsidRPr="00471CF4" w:rsidRDefault="00471CF4" w:rsidP="00FC2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 изложить</w:t>
      </w:r>
      <w:r w:rsidR="00FC213B" w:rsidRPr="00471CF4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3</w:t>
      </w:r>
      <w:r w:rsidR="00477166" w:rsidRPr="00471CF4">
        <w:rPr>
          <w:sz w:val="24"/>
          <w:szCs w:val="24"/>
        </w:rPr>
        <w:t xml:space="preserve"> ст</w:t>
      </w:r>
      <w:r>
        <w:rPr>
          <w:sz w:val="24"/>
          <w:szCs w:val="24"/>
        </w:rPr>
        <w:t>атьи 1</w:t>
      </w:r>
      <w:r w:rsidR="00FC213B" w:rsidRPr="00471CF4">
        <w:rPr>
          <w:sz w:val="24"/>
          <w:szCs w:val="24"/>
        </w:rPr>
        <w:t xml:space="preserve"> в следующей редакции:</w:t>
      </w:r>
    </w:p>
    <w:p w:rsidR="00477166" w:rsidRDefault="00477166" w:rsidP="00471CF4">
      <w:pPr>
        <w:ind w:firstLine="720"/>
        <w:jc w:val="both"/>
        <w:rPr>
          <w:sz w:val="24"/>
          <w:szCs w:val="24"/>
        </w:rPr>
      </w:pPr>
      <w:r w:rsidRPr="00471CF4">
        <w:rPr>
          <w:sz w:val="24"/>
          <w:szCs w:val="24"/>
        </w:rPr>
        <w:t>«</w:t>
      </w:r>
      <w:r w:rsidR="00471CF4" w:rsidRPr="00471CF4">
        <w:rPr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 (за исключением случая, предусмотренного частью второй настоящей статьи).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471CF4" w:rsidRPr="00471CF4">
        <w:rPr>
          <w:sz w:val="24"/>
          <w:szCs w:val="24"/>
        </w:rPr>
        <w:t>.</w:t>
      </w:r>
      <w:r w:rsidR="00471CF4">
        <w:rPr>
          <w:sz w:val="24"/>
          <w:szCs w:val="24"/>
        </w:rPr>
        <w:t>»;</w:t>
      </w:r>
      <w:proofErr w:type="gramEnd"/>
    </w:p>
    <w:p w:rsidR="00471CF4" w:rsidRDefault="00471CF4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пункт 1 статьи 2</w:t>
      </w:r>
      <w:r w:rsidR="005216A6">
        <w:rPr>
          <w:sz w:val="24"/>
          <w:szCs w:val="24"/>
        </w:rPr>
        <w:t xml:space="preserve"> абзацем 4 следующего содержания:</w:t>
      </w:r>
    </w:p>
    <w:p w:rsidR="005216A6" w:rsidRDefault="005216A6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216A6">
        <w:rPr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216A6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5216A6" w:rsidRDefault="005216A6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00604">
        <w:rPr>
          <w:sz w:val="24"/>
          <w:szCs w:val="24"/>
        </w:rPr>
        <w:t>дополнить пункт 2 статьи 2 подпунктом 2.1. следующего содержания:</w:t>
      </w:r>
    </w:p>
    <w:p w:rsidR="00B00604" w:rsidRDefault="00B00604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00604">
        <w:rPr>
          <w:sz w:val="24"/>
          <w:szCs w:val="24"/>
        </w:rPr>
        <w:t xml:space="preserve">2.1. </w:t>
      </w:r>
      <w:proofErr w:type="gramStart"/>
      <w:r w:rsidRPr="00B00604">
        <w:rPr>
          <w:sz w:val="24"/>
          <w:szCs w:val="24"/>
        </w:rPr>
        <w:t>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представительный орган 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Pr="00B00604">
        <w:rPr>
          <w:sz w:val="24"/>
          <w:szCs w:val="24"/>
        </w:rPr>
        <w:t xml:space="preserve">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</w:t>
      </w:r>
      <w:proofErr w:type="gramStart"/>
      <w:r w:rsidRPr="00B00604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00604" w:rsidRDefault="00B00604" w:rsidP="00471C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изложить пункт 2 статьи 3 в следующей редакции: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00604">
        <w:rPr>
          <w:sz w:val="24"/>
          <w:szCs w:val="24"/>
        </w:rPr>
        <w:t>2. В муниципальном правовом акте о назначении опроса граждан устанавливаются: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t>1) дата и сроки проведения опроса граждан;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lastRenderedPageBreak/>
        <w:t>2) формулировка вопроса (вопросов), предлагаемого (предлагаемых) при проведении опроса граждан;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t>3) методика проведения опроса граждан;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t>4) форма опросного листа;</w:t>
      </w:r>
    </w:p>
    <w:p w:rsidR="00B00604" w:rsidRP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t>5) минимальная численность жителей муниципального образования, участвующих в опросе граждан;</w:t>
      </w:r>
    </w:p>
    <w:p w:rsidR="00B00604" w:rsidRDefault="00B00604" w:rsidP="00B00604">
      <w:pPr>
        <w:ind w:firstLine="720"/>
        <w:jc w:val="both"/>
        <w:rPr>
          <w:sz w:val="24"/>
          <w:szCs w:val="24"/>
        </w:rPr>
      </w:pPr>
      <w:r w:rsidRPr="00B00604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0060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B00604" w:rsidRDefault="00B00604" w:rsidP="00B006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дополнить пункт 2 статьи 3</w:t>
      </w:r>
      <w:r w:rsidRPr="00B00604">
        <w:rPr>
          <w:sz w:val="24"/>
          <w:szCs w:val="24"/>
        </w:rPr>
        <w:t xml:space="preserve"> подпунктом 2.1. следующего содержания:</w:t>
      </w:r>
    </w:p>
    <w:p w:rsidR="00B00604" w:rsidRDefault="00B00604" w:rsidP="00B00604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t>«</w:t>
      </w:r>
      <w:r w:rsidRPr="00DB1622">
        <w:rPr>
          <w:rFonts w:ascii="Arial" w:hAnsi="Arial" w:cs="Arial"/>
          <w:color w:val="000000"/>
        </w:rPr>
        <w:t xml:space="preserve">2.1. При проведении опроса граждан </w:t>
      </w:r>
      <w:proofErr w:type="gramStart"/>
      <w:r w:rsidRPr="00DB1622">
        <w:rPr>
          <w:rFonts w:ascii="Arial" w:hAnsi="Arial" w:cs="Arial"/>
          <w:color w:val="000000"/>
        </w:rPr>
        <w:t>на части территории</w:t>
      </w:r>
      <w:proofErr w:type="gramEnd"/>
      <w:r w:rsidRPr="00DB1622">
        <w:rPr>
          <w:rFonts w:ascii="Arial" w:hAnsi="Arial" w:cs="Arial"/>
          <w:color w:val="000000"/>
        </w:rPr>
        <w:t xml:space="preserve"> муниципального образования представительным органом муниципального образования определяется территория, на которой проводится опрос граждан.</w:t>
      </w:r>
      <w:r w:rsidRPr="002C7E47">
        <w:rPr>
          <w:rFonts w:ascii="Arial" w:hAnsi="Arial" w:cs="Arial"/>
          <w:color w:val="000000"/>
        </w:rPr>
        <w:t>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</w:t>
      </w:r>
      <w:proofErr w:type="gramStart"/>
      <w:r w:rsidRPr="002C7E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B00604" w:rsidRDefault="00B00604" w:rsidP="00B00604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8C3BEE">
        <w:rPr>
          <w:rFonts w:ascii="Arial" w:hAnsi="Arial" w:cs="Arial"/>
          <w:color w:val="000000"/>
        </w:rPr>
        <w:t>абзац 3 пункта 4 статьи 4 исключить;</w:t>
      </w:r>
    </w:p>
    <w:p w:rsidR="008C3BEE" w:rsidRDefault="008C3BEE" w:rsidP="0050399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="00503998">
        <w:rPr>
          <w:rFonts w:ascii="Arial" w:hAnsi="Arial" w:cs="Arial"/>
          <w:color w:val="000000"/>
        </w:rPr>
        <w:t>пункт 1 статьи 7 изложить в следующей редакции:</w:t>
      </w:r>
    </w:p>
    <w:p w:rsidR="00503998" w:rsidRPr="00503998" w:rsidRDefault="00503998" w:rsidP="0050399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503998">
        <w:rPr>
          <w:rFonts w:ascii="Arial" w:hAnsi="Arial" w:cs="Arial"/>
          <w:color w:val="000000"/>
        </w:rPr>
        <w:t>1. Финансирование мероприятий, связанных с подготовкой и проведением опроса граждан, осуществляется:</w:t>
      </w:r>
    </w:p>
    <w:p w:rsidR="00503998" w:rsidRPr="00503998" w:rsidRDefault="00503998" w:rsidP="0050399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3998">
        <w:rPr>
          <w:rFonts w:ascii="Arial" w:hAnsi="Arial" w:cs="Arial"/>
          <w:color w:val="000000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503998" w:rsidRDefault="00503998" w:rsidP="00503998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3998">
        <w:rPr>
          <w:rFonts w:ascii="Arial" w:hAnsi="Arial" w:cs="Arial"/>
          <w:color w:val="000000"/>
        </w:rPr>
        <w:t>2) за счет средств бюджета Алтайского края - при проведении опроса по инициативе Правительства Алтайского края</w:t>
      </w:r>
      <w:proofErr w:type="gramStart"/>
      <w:r w:rsidRPr="0050399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».</w:t>
      </w:r>
      <w:proofErr w:type="gramEnd"/>
    </w:p>
    <w:p w:rsidR="00B00604" w:rsidRPr="00471CF4" w:rsidRDefault="00B00604" w:rsidP="00B00604">
      <w:pPr>
        <w:ind w:firstLine="720"/>
        <w:jc w:val="both"/>
        <w:rPr>
          <w:sz w:val="24"/>
          <w:szCs w:val="24"/>
        </w:rPr>
      </w:pPr>
    </w:p>
    <w:p w:rsidR="00FC213B" w:rsidRPr="00471CF4" w:rsidRDefault="00FC213B" w:rsidP="00FC213B">
      <w:pPr>
        <w:tabs>
          <w:tab w:val="num" w:pos="0"/>
        </w:tabs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   </w:t>
      </w:r>
      <w:r w:rsidRPr="00471CF4">
        <w:t xml:space="preserve">        </w:t>
      </w:r>
      <w:r w:rsidR="00477166" w:rsidRPr="00471CF4">
        <w:rPr>
          <w:sz w:val="24"/>
          <w:szCs w:val="24"/>
        </w:rPr>
        <w:t>3</w:t>
      </w:r>
      <w:r w:rsidRPr="00471CF4">
        <w:rPr>
          <w:color w:val="000000"/>
          <w:spacing w:val="-5"/>
          <w:sz w:val="24"/>
          <w:szCs w:val="24"/>
        </w:rPr>
        <w:t xml:space="preserve">. </w:t>
      </w:r>
      <w:r w:rsidRPr="00471CF4">
        <w:rPr>
          <w:sz w:val="24"/>
          <w:szCs w:val="24"/>
        </w:rPr>
        <w:t>Обнародовать настоящее решение в установленном порядке.</w:t>
      </w:r>
    </w:p>
    <w:p w:rsidR="00503998" w:rsidRDefault="00477166" w:rsidP="00FC213B">
      <w:pPr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471CF4">
        <w:rPr>
          <w:snapToGrid w:val="0"/>
          <w:sz w:val="24"/>
          <w:szCs w:val="24"/>
        </w:rPr>
        <w:t xml:space="preserve"> </w:t>
      </w:r>
    </w:p>
    <w:p w:rsidR="00FC213B" w:rsidRPr="00471CF4" w:rsidRDefault="00477166" w:rsidP="00FC213B">
      <w:pPr>
        <w:spacing w:line="276" w:lineRule="auto"/>
        <w:ind w:firstLine="567"/>
        <w:jc w:val="both"/>
        <w:rPr>
          <w:sz w:val="28"/>
          <w:szCs w:val="28"/>
        </w:rPr>
      </w:pPr>
      <w:r w:rsidRPr="00471CF4">
        <w:rPr>
          <w:snapToGrid w:val="0"/>
          <w:sz w:val="24"/>
          <w:szCs w:val="24"/>
        </w:rPr>
        <w:t xml:space="preserve"> 4</w:t>
      </w:r>
      <w:r w:rsidR="00FC213B" w:rsidRPr="00471CF4">
        <w:rPr>
          <w:snapToGrid w:val="0"/>
          <w:sz w:val="24"/>
          <w:szCs w:val="24"/>
        </w:rPr>
        <w:t xml:space="preserve">. </w:t>
      </w:r>
      <w:proofErr w:type="gramStart"/>
      <w:r w:rsidR="00FC213B" w:rsidRPr="00471CF4">
        <w:rPr>
          <w:sz w:val="24"/>
          <w:szCs w:val="24"/>
        </w:rPr>
        <w:t>Контроль за</w:t>
      </w:r>
      <w:proofErr w:type="gramEnd"/>
      <w:r w:rsidR="00FC213B" w:rsidRPr="00471CF4">
        <w:rPr>
          <w:sz w:val="24"/>
          <w:szCs w:val="24"/>
        </w:rPr>
        <w:t xml:space="preserve"> выполнением  настоящего решения возложить на постоянную комиссию по постоянную комиссию по социальным вопросам и самоуправлению (</w:t>
      </w:r>
      <w:proofErr w:type="spellStart"/>
      <w:r w:rsidR="00503998">
        <w:rPr>
          <w:sz w:val="24"/>
          <w:szCs w:val="24"/>
        </w:rPr>
        <w:t>Эйсфельд</w:t>
      </w:r>
      <w:proofErr w:type="spellEnd"/>
      <w:r w:rsidR="00503998">
        <w:rPr>
          <w:sz w:val="24"/>
          <w:szCs w:val="24"/>
        </w:rPr>
        <w:t xml:space="preserve"> Н.И</w:t>
      </w:r>
      <w:r w:rsidR="00FC213B" w:rsidRPr="00471CF4">
        <w:rPr>
          <w:sz w:val="24"/>
          <w:szCs w:val="24"/>
        </w:rPr>
        <w:t>.).</w:t>
      </w:r>
    </w:p>
    <w:p w:rsidR="00FC213B" w:rsidRPr="00471CF4" w:rsidRDefault="00FC213B" w:rsidP="00FC213B">
      <w:pPr>
        <w:jc w:val="both"/>
        <w:rPr>
          <w:sz w:val="24"/>
          <w:szCs w:val="24"/>
        </w:rPr>
      </w:pPr>
    </w:p>
    <w:p w:rsidR="00FC213B" w:rsidRPr="00471CF4" w:rsidRDefault="00FC213B" w:rsidP="00FC213B">
      <w:pPr>
        <w:pStyle w:val="2"/>
        <w:jc w:val="both"/>
        <w:rPr>
          <w:sz w:val="24"/>
          <w:szCs w:val="24"/>
        </w:rPr>
      </w:pPr>
    </w:p>
    <w:p w:rsidR="00FC213B" w:rsidRPr="00471CF4" w:rsidRDefault="00FC213B" w:rsidP="00FC213B">
      <w:pPr>
        <w:pStyle w:val="2"/>
        <w:jc w:val="both"/>
        <w:rPr>
          <w:sz w:val="24"/>
          <w:szCs w:val="24"/>
        </w:rPr>
      </w:pPr>
      <w:r w:rsidRPr="00471CF4">
        <w:rPr>
          <w:sz w:val="24"/>
          <w:szCs w:val="24"/>
        </w:rPr>
        <w:t xml:space="preserve">Глава Хайрюзовского сельсовета                </w:t>
      </w:r>
      <w:r w:rsidRPr="00471CF4">
        <w:rPr>
          <w:sz w:val="24"/>
          <w:szCs w:val="24"/>
        </w:rPr>
        <w:tab/>
      </w:r>
      <w:r w:rsidRPr="00471CF4">
        <w:rPr>
          <w:sz w:val="24"/>
          <w:szCs w:val="24"/>
        </w:rPr>
        <w:tab/>
        <w:t xml:space="preserve">                      </w:t>
      </w:r>
      <w:r w:rsidRPr="00471CF4">
        <w:rPr>
          <w:sz w:val="24"/>
          <w:szCs w:val="24"/>
        </w:rPr>
        <w:tab/>
      </w:r>
      <w:r w:rsidR="00503998">
        <w:rPr>
          <w:sz w:val="24"/>
          <w:szCs w:val="24"/>
        </w:rPr>
        <w:t>М.Э. Гербер</w:t>
      </w:r>
    </w:p>
    <w:p w:rsidR="005D2377" w:rsidRPr="00471CF4" w:rsidRDefault="005D2377"/>
    <w:sectPr w:rsidR="005D2377" w:rsidRPr="00471CF4" w:rsidSect="00471CF4">
      <w:headerReference w:type="even" r:id="rId7"/>
      <w:headerReference w:type="default" r:id="rId8"/>
      <w:pgSz w:w="11906" w:h="16838" w:code="9"/>
      <w:pgMar w:top="851" w:right="707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7F" w:rsidRDefault="0060057F">
      <w:r>
        <w:separator/>
      </w:r>
    </w:p>
  </w:endnote>
  <w:endnote w:type="continuationSeparator" w:id="0">
    <w:p w:rsidR="0060057F" w:rsidRDefault="006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7F" w:rsidRDefault="0060057F">
      <w:r>
        <w:separator/>
      </w:r>
    </w:p>
  </w:footnote>
  <w:footnote w:type="continuationSeparator" w:id="0">
    <w:p w:rsidR="0060057F" w:rsidRDefault="0060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FC2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A66" w:rsidRDefault="006005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66" w:rsidRDefault="006005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0F51DA"/>
    <w:rsid w:val="00391EB6"/>
    <w:rsid w:val="00471CF4"/>
    <w:rsid w:val="00477166"/>
    <w:rsid w:val="00503998"/>
    <w:rsid w:val="005216A6"/>
    <w:rsid w:val="00527639"/>
    <w:rsid w:val="005B0F18"/>
    <w:rsid w:val="005D2377"/>
    <w:rsid w:val="005E0E3C"/>
    <w:rsid w:val="0060057F"/>
    <w:rsid w:val="008C3BEE"/>
    <w:rsid w:val="009E36C3"/>
    <w:rsid w:val="00B00604"/>
    <w:rsid w:val="00E36304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customStyle="1" w:styleId="consnormal">
    <w:name w:val="consnormal"/>
    <w:basedOn w:val="a"/>
    <w:rsid w:val="00B006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3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213B"/>
    <w:rPr>
      <w:sz w:val="16"/>
    </w:rPr>
  </w:style>
  <w:style w:type="character" w:customStyle="1" w:styleId="20">
    <w:name w:val="Основной текст 2 Знак"/>
    <w:basedOn w:val="a0"/>
    <w:link w:val="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paragraph" w:customStyle="1" w:styleId="consnormal">
    <w:name w:val="consnormal"/>
    <w:basedOn w:val="a"/>
    <w:rsid w:val="00B006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3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8</cp:revision>
  <cp:lastPrinted>2021-12-22T14:56:00Z</cp:lastPrinted>
  <dcterms:created xsi:type="dcterms:W3CDTF">2019-06-24T02:53:00Z</dcterms:created>
  <dcterms:modified xsi:type="dcterms:W3CDTF">2021-12-22T14:56:00Z</dcterms:modified>
</cp:coreProperties>
</file>